
<file path=[Content_Types].xml><?xml version="1.0" encoding="utf-8"?>
<Types xmlns="http://schemas.openxmlformats.org/package/2006/content-types">
  <Default ContentType="image/jpeg" Extension="jpg"/>
  <Default ContentType="image/gif" Extension="gif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37.0" w:type="dxa"/>
        <w:jc w:val="left"/>
        <w:tblInd w:w="-78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2010"/>
        <w:gridCol w:w="6216"/>
        <w:gridCol w:w="2011"/>
        <w:tblGridChange w:id="0">
          <w:tblGrid>
            <w:gridCol w:w="2010"/>
            <w:gridCol w:w="6216"/>
            <w:gridCol w:w="2011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-163194</wp:posOffset>
                  </wp:positionV>
                  <wp:extent cx="907415" cy="511810"/>
                  <wp:effectExtent b="0" l="0" r="0" t="0"/>
                  <wp:wrapNone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15" cy="5118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Fiche de mise en situation: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Feu de structure,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6"/>
                <w:szCs w:val="26"/>
                <w:rtl w:val="0"/>
              </w:rPr>
              <w:t xml:space="preserve">création d’un éxutoire en toiture depuis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 le MEA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Chef d'agrès MEA</w:t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Formation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MSP n°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206.000000000002" w:type="dxa"/>
        <w:jc w:val="left"/>
        <w:tblInd w:w="-54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839"/>
        <w:gridCol w:w="2341"/>
        <w:gridCol w:w="2341"/>
        <w:gridCol w:w="1933"/>
        <w:gridCol w:w="2752"/>
        <w:tblGridChange w:id="0">
          <w:tblGrid>
            <w:gridCol w:w="839"/>
            <w:gridCol w:w="2341"/>
            <w:gridCol w:w="2341"/>
            <w:gridCol w:w="1933"/>
            <w:gridCol w:w="275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LOGISTIQUE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Matériel et moyens :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MEA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EPT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Batiment R+2 mini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Formateurs :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Assistants 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SECURITE         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462915" cy="407035"/>
                  <wp:effectExtent b="0" l="0" r="0" t="0"/>
                  <wp:wrapNone/>
                  <wp:docPr id="2" name="image1.gif"/>
                  <a:graphic>
                    <a:graphicData uri="http://schemas.openxmlformats.org/drawingml/2006/picture">
                      <pic:pic>
                        <pic:nvPicPr>
                          <pic:cNvPr id="0" name="image1.gif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" cy="4070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Sécurité propre au site de manœuvre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Zonage public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Sécurité pour le personnel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EPI, MPT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Risques pendant l'exercice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Blessure avec matériel SP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Autres points de sécurité à envisager par le formateur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Chute d’objet sous le MEA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DEROULEMENT DU THEME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Description du thème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Feu de structure, </w:t>
            </w:r>
            <w:r w:rsidDel="00000000" w:rsidR="00000000" w:rsidRPr="00000000">
              <w:rPr>
                <w:rFonts w:ascii="Comic Sans MS" w:cs="Comic Sans MS" w:eastAsia="Comic Sans MS" w:hAnsi="Comic Sans MS"/>
                <w:sz w:val="20"/>
                <w:szCs w:val="20"/>
                <w:rtl w:val="0"/>
              </w:rPr>
              <w:t xml:space="preserve">COS ordonne la création d’un exutoire en toiture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Consignes aux formateurs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Néant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Consignes à la victime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Situation à l'arrivée des secours 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 FPT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Risques principaux et secondaires du thème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chute, </w:t>
            </w:r>
            <w:r w:rsidDel="00000000" w:rsidR="00000000" w:rsidRPr="00000000">
              <w:rPr>
                <w:rFonts w:ascii="Comic Sans MS" w:cs="Comic Sans MS" w:eastAsia="Comic Sans MS" w:hAnsi="Comic Sans MS"/>
                <w:sz w:val="20"/>
                <w:szCs w:val="20"/>
                <w:rtl w:val="0"/>
              </w:rPr>
              <w:t xml:space="preserve">embrasement des fumées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Ticket de départ (engin réel/engin virtuel=prévus)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MEA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ACTIONS A REALISER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SMES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Prendre la mission en compte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Positionnement du MEA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0"/>
                <w:szCs w:val="20"/>
                <w:rtl w:val="0"/>
              </w:rPr>
              <w:t xml:space="preserve">- Veiller à posséder un moyen hydraulique pour l’exutoire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0"/>
                <w:szCs w:val="20"/>
                <w:rtl w:val="0"/>
              </w:rPr>
              <w:t xml:space="preserve">- Matériel de forcement et matériels pour création d'exutoire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Reconditionnement matériel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Débriefing opérationnel</w:t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DEBRIEFING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Points clés observés et à aborder lors du débriefing :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Sécurité individuelle et collective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Emplacement du MEA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EPI spécifique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Panneau photovoltaïque ou thermique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both"/>
        <w:rPr>
          <w:rFonts w:ascii="Comic Sans MS" w:cs="Comic Sans MS" w:eastAsia="Comic Sans MS" w:hAnsi="Comic Sans MS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63" w:top="363" w:left="850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mic Sans MS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fr-F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gif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